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5"/>
      </w:pPr>
      <w:r>
        <w:rPr/>
        <w:drawing>
          <wp:anchor distT="0" distB="0" distL="0" distR="0" allowOverlap="1" layoutInCell="1" locked="0" behindDoc="0" simplePos="0" relativeHeight="1048">
            <wp:simplePos x="0" y="0"/>
            <wp:positionH relativeFrom="page">
              <wp:posOffset>6203289</wp:posOffset>
            </wp:positionH>
            <wp:positionV relativeFrom="paragraph">
              <wp:posOffset>-5391</wp:posOffset>
            </wp:positionV>
            <wp:extent cx="973835" cy="106742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73835" cy="1067422"/>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590550</wp:posOffset>
            </wp:positionH>
            <wp:positionV relativeFrom="paragraph">
              <wp:posOffset>30920</wp:posOffset>
            </wp:positionV>
            <wp:extent cx="973589" cy="987551"/>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73589" cy="987551"/>
                    </a:xfrm>
                    <a:prstGeom prst="rect">
                      <a:avLst/>
                    </a:prstGeom>
                  </pic:spPr>
                </pic:pic>
              </a:graphicData>
            </a:graphic>
          </wp:anchor>
        </w:drawing>
      </w:r>
      <w:r>
        <w:rPr/>
        <w:t>OFFICE OF THE</w:t>
      </w:r>
    </w:p>
    <w:p>
      <w:pPr>
        <w:spacing w:before="62"/>
        <w:ind w:left="1883" w:right="1865" w:firstLine="0"/>
        <w:jc w:val="center"/>
        <w:rPr>
          <w:rFonts w:ascii="Times New Roman"/>
          <w:sz w:val="36"/>
        </w:rPr>
      </w:pPr>
      <w:r>
        <w:rPr/>
        <w:pict>
          <v:line style="position:absolute;mso-position-horizontal-relative:page;mso-position-vertical-relative:paragraph;z-index:-1024;mso-wrap-distance-left:0;mso-wrap-distance-right:0" from="169.5pt,28.215307pt" to="457.5pt,28.215307pt" stroked="true" strokeweight=".77997pt" strokecolor="#000000">
            <v:stroke dashstyle="solid"/>
            <w10:wrap type="topAndBottom"/>
          </v:line>
        </w:pict>
      </w:r>
      <w:r>
        <w:rPr>
          <w:rFonts w:ascii="Times New Roman"/>
          <w:sz w:val="36"/>
        </w:rPr>
        <w:t>NASSAU COUNTY PROPERTY APPRAISER</w:t>
      </w:r>
    </w:p>
    <w:p>
      <w:pPr>
        <w:pStyle w:val="Heading2"/>
        <w:spacing w:before="136"/>
        <w:ind w:left="3970"/>
        <w:rPr>
          <w:rFonts w:ascii="Times New Roman"/>
        </w:rPr>
      </w:pPr>
      <w:r>
        <w:rPr>
          <w:rFonts w:ascii="Times New Roman"/>
        </w:rPr>
        <w:t>Honorable A. Michael Hickox</w:t>
      </w:r>
    </w:p>
    <w:p>
      <w:pPr>
        <w:pStyle w:val="BodyText"/>
        <w:spacing w:before="9"/>
        <w:rPr>
          <w:rFonts w:ascii="Times New Roman"/>
          <w:b/>
          <w:sz w:val="15"/>
        </w:rPr>
      </w:pPr>
    </w:p>
    <w:p>
      <w:pPr>
        <w:tabs>
          <w:tab w:pos="4438" w:val="left" w:leader="none"/>
          <w:tab w:pos="6598" w:val="left" w:leader="none"/>
          <w:tab w:pos="8758" w:val="left" w:leader="none"/>
        </w:tabs>
        <w:spacing w:before="55"/>
        <w:ind w:left="118" w:right="0" w:firstLine="0"/>
        <w:jc w:val="left"/>
        <w:rPr>
          <w:sz w:val="22"/>
        </w:rPr>
      </w:pPr>
      <w:r>
        <w:rPr/>
        <w:pict>
          <v:line style="position:absolute;mso-position-horizontal-relative:page;mso-position-vertical-relative:paragraph;z-index:1072" from="30.780001pt,.653638pt" to="583.500001pt,.653638pt" stroked="true" strokeweight=".77997pt" strokecolor="#0000ff">
            <v:stroke dashstyle="solid"/>
            <w10:wrap type="none"/>
          </v:line>
        </w:pict>
      </w:r>
      <w:r>
        <w:rPr/>
        <w:pict>
          <v:line style="position:absolute;mso-position-horizontal-relative:page;mso-position-vertical-relative:paragraph;z-index:1096" from="30.780001pt,17.153639pt" to="583.500001pt,17.153639pt" stroked="true" strokeweight=".77997pt" strokecolor="#0000ff">
            <v:stroke dashstyle="solid"/>
            <w10:wrap type="none"/>
          </v:line>
        </w:pict>
      </w:r>
      <w:r>
        <w:rPr>
          <w:sz w:val="22"/>
        </w:rPr>
        <w:t>96135 Nassau Place, Suite 4, Yulee,</w:t>
      </w:r>
      <w:r>
        <w:rPr>
          <w:spacing w:val="-10"/>
          <w:sz w:val="22"/>
        </w:rPr>
        <w:t> </w:t>
      </w:r>
      <w:r>
        <w:rPr>
          <w:sz w:val="22"/>
        </w:rPr>
        <w:t>FL</w:t>
      </w:r>
      <w:r>
        <w:rPr>
          <w:spacing w:val="-1"/>
          <w:sz w:val="22"/>
        </w:rPr>
        <w:t> </w:t>
      </w:r>
      <w:r>
        <w:rPr>
          <w:sz w:val="22"/>
        </w:rPr>
        <w:t>32097</w:t>
        <w:tab/>
        <w:t>Phone:</w:t>
      </w:r>
      <w:r>
        <w:rPr>
          <w:spacing w:val="-3"/>
          <w:sz w:val="22"/>
        </w:rPr>
        <w:t> </w:t>
      </w:r>
      <w:r>
        <w:rPr>
          <w:sz w:val="22"/>
        </w:rPr>
        <w:t>904‐491‐7300</w:t>
        <w:tab/>
        <w:t>Fax:</w:t>
      </w:r>
      <w:r>
        <w:rPr>
          <w:spacing w:val="-1"/>
          <w:sz w:val="22"/>
        </w:rPr>
        <w:t> </w:t>
      </w:r>
      <w:r>
        <w:rPr>
          <w:sz w:val="22"/>
        </w:rPr>
        <w:t>904‐491‐3629</w:t>
        <w:tab/>
      </w:r>
      <w:hyperlink r:id="rId7">
        <w:r>
          <w:rPr>
            <w:sz w:val="22"/>
          </w:rPr>
          <w:t>www.nassauflpa.com</w:t>
        </w:r>
      </w:hyperlink>
    </w:p>
    <w:p>
      <w:pPr>
        <w:pStyle w:val="BodyText"/>
        <w:rPr>
          <w:sz w:val="20"/>
        </w:rPr>
      </w:pPr>
    </w:p>
    <w:p>
      <w:pPr>
        <w:pStyle w:val="BodyText"/>
        <w:spacing w:before="2"/>
        <w:rPr>
          <w:sz w:val="18"/>
        </w:rPr>
      </w:pPr>
    </w:p>
    <w:p>
      <w:pPr>
        <w:pStyle w:val="BodyText"/>
        <w:tabs>
          <w:tab w:pos="7199" w:val="left" w:leader="none"/>
        </w:tabs>
        <w:spacing w:before="52"/>
        <w:ind w:left="720"/>
        <w:jc w:val="both"/>
      </w:pPr>
      <w:r>
        <w:rPr/>
        <w:t>FOR</w:t>
      </w:r>
      <w:r>
        <w:rPr>
          <w:spacing w:val="-3"/>
        </w:rPr>
        <w:t> </w:t>
      </w:r>
      <w:r>
        <w:rPr/>
        <w:t>IMMEDIATE</w:t>
      </w:r>
      <w:r>
        <w:rPr>
          <w:spacing w:val="-3"/>
        </w:rPr>
        <w:t> </w:t>
      </w:r>
      <w:r>
        <w:rPr/>
        <w:t>RELEASE</w:t>
        <w:tab/>
        <w:t>April 24,</w:t>
      </w:r>
      <w:r>
        <w:rPr>
          <w:spacing w:val="-2"/>
        </w:rPr>
        <w:t> </w:t>
      </w:r>
      <w:r>
        <w:rPr/>
        <w:t>2018</w:t>
      </w:r>
    </w:p>
    <w:p>
      <w:pPr>
        <w:pStyle w:val="BodyText"/>
        <w:ind w:left="720"/>
        <w:jc w:val="both"/>
      </w:pPr>
      <w:r>
        <w:rPr/>
        <w:t>Contact: Kevin Lilly, 904‐491‐7302</w:t>
      </w:r>
    </w:p>
    <w:p>
      <w:pPr>
        <w:pStyle w:val="BodyText"/>
      </w:pPr>
    </w:p>
    <w:p>
      <w:pPr>
        <w:pStyle w:val="BodyText"/>
        <w:spacing w:before="12"/>
        <w:rPr>
          <w:sz w:val="23"/>
        </w:rPr>
      </w:pPr>
    </w:p>
    <w:p>
      <w:pPr>
        <w:pStyle w:val="Heading2"/>
        <w:ind w:firstLine="218"/>
      </w:pPr>
      <w:r>
        <w:rPr/>
        <w:t>“Hickox to display taxpayer savings for the proposed additional homestead.”</w:t>
      </w:r>
    </w:p>
    <w:p>
      <w:pPr>
        <w:pStyle w:val="BodyText"/>
        <w:spacing w:before="11"/>
        <w:rPr>
          <w:b/>
          <w:sz w:val="23"/>
        </w:rPr>
      </w:pPr>
    </w:p>
    <w:p>
      <w:pPr>
        <w:pStyle w:val="BodyText"/>
        <w:spacing w:before="1"/>
        <w:ind w:left="720" w:right="698"/>
        <w:jc w:val="both"/>
      </w:pPr>
      <w:r>
        <w:rPr>
          <w:b/>
        </w:rPr>
        <w:t>Nassau</w:t>
      </w:r>
      <w:r>
        <w:rPr>
          <w:b/>
          <w:spacing w:val="-6"/>
        </w:rPr>
        <w:t> </w:t>
      </w:r>
      <w:r>
        <w:rPr>
          <w:b/>
        </w:rPr>
        <w:t>County,</w:t>
      </w:r>
      <w:r>
        <w:rPr>
          <w:b/>
          <w:spacing w:val="-4"/>
        </w:rPr>
        <w:t> </w:t>
      </w:r>
      <w:r>
        <w:rPr>
          <w:b/>
        </w:rPr>
        <w:t>FL</w:t>
      </w:r>
      <w:r>
        <w:rPr>
          <w:b/>
          <w:spacing w:val="-4"/>
        </w:rPr>
        <w:t> </w:t>
      </w:r>
      <w:r>
        <w:rPr>
          <w:b/>
        </w:rPr>
        <w:t>–</w:t>
      </w:r>
      <w:r>
        <w:rPr>
          <w:b/>
          <w:spacing w:val="-4"/>
        </w:rPr>
        <w:t> </w:t>
      </w:r>
      <w:r>
        <w:rPr/>
        <w:t>It</w:t>
      </w:r>
      <w:r>
        <w:rPr>
          <w:spacing w:val="-4"/>
        </w:rPr>
        <w:t> </w:t>
      </w:r>
      <w:r>
        <w:rPr/>
        <w:t>appears</w:t>
      </w:r>
      <w:r>
        <w:rPr>
          <w:spacing w:val="-4"/>
        </w:rPr>
        <w:t> </w:t>
      </w:r>
      <w:r>
        <w:rPr/>
        <w:t>the</w:t>
      </w:r>
      <w:r>
        <w:rPr>
          <w:spacing w:val="-4"/>
        </w:rPr>
        <w:t> </w:t>
      </w:r>
      <w:r>
        <w:rPr/>
        <w:t>November</w:t>
      </w:r>
      <w:r>
        <w:rPr>
          <w:spacing w:val="-5"/>
        </w:rPr>
        <w:t> </w:t>
      </w:r>
      <w:r>
        <w:rPr/>
        <w:t>6,</w:t>
      </w:r>
      <w:r>
        <w:rPr>
          <w:spacing w:val="-4"/>
        </w:rPr>
        <w:t> </w:t>
      </w:r>
      <w:r>
        <w:rPr/>
        <w:t>2018,</w:t>
      </w:r>
      <w:r>
        <w:rPr>
          <w:spacing w:val="-4"/>
        </w:rPr>
        <w:t> </w:t>
      </w:r>
      <w:r>
        <w:rPr/>
        <w:t>ballot</w:t>
      </w:r>
      <w:r>
        <w:rPr>
          <w:spacing w:val="-4"/>
        </w:rPr>
        <w:t> </w:t>
      </w:r>
      <w:r>
        <w:rPr/>
        <w:t>will</w:t>
      </w:r>
      <w:r>
        <w:rPr>
          <w:spacing w:val="-4"/>
        </w:rPr>
        <w:t> </w:t>
      </w:r>
      <w:r>
        <w:rPr/>
        <w:t>contain</w:t>
      </w:r>
      <w:r>
        <w:rPr>
          <w:spacing w:val="-4"/>
        </w:rPr>
        <w:t> </w:t>
      </w:r>
      <w:r>
        <w:rPr/>
        <w:t>the</w:t>
      </w:r>
      <w:r>
        <w:rPr>
          <w:spacing w:val="-5"/>
        </w:rPr>
        <w:t> </w:t>
      </w:r>
      <w:r>
        <w:rPr/>
        <w:t>question</w:t>
      </w:r>
      <w:r>
        <w:rPr>
          <w:spacing w:val="-4"/>
        </w:rPr>
        <w:t> </w:t>
      </w:r>
      <w:r>
        <w:rPr/>
        <w:t>for</w:t>
      </w:r>
      <w:r>
        <w:rPr>
          <w:spacing w:val="-4"/>
        </w:rPr>
        <w:t> </w:t>
      </w:r>
      <w:r>
        <w:rPr/>
        <w:t>voters to decide if they want an additional, up to $25k, homestead exemption from property taxes on the</w:t>
      </w:r>
      <w:r>
        <w:rPr>
          <w:spacing w:val="-14"/>
        </w:rPr>
        <w:t> </w:t>
      </w:r>
      <w:r>
        <w:rPr/>
        <w:t>amount</w:t>
      </w:r>
      <w:r>
        <w:rPr>
          <w:spacing w:val="-16"/>
        </w:rPr>
        <w:t> </w:t>
      </w:r>
      <w:r>
        <w:rPr/>
        <w:t>of</w:t>
      </w:r>
      <w:r>
        <w:rPr>
          <w:spacing w:val="-14"/>
        </w:rPr>
        <w:t> </w:t>
      </w:r>
      <w:r>
        <w:rPr/>
        <w:t>property</w:t>
      </w:r>
      <w:r>
        <w:rPr>
          <w:spacing w:val="-15"/>
        </w:rPr>
        <w:t> </w:t>
      </w:r>
      <w:r>
        <w:rPr/>
        <w:t>valued</w:t>
      </w:r>
      <w:r>
        <w:rPr>
          <w:spacing w:val="-14"/>
        </w:rPr>
        <w:t> </w:t>
      </w:r>
      <w:r>
        <w:rPr/>
        <w:t>between</w:t>
      </w:r>
      <w:r>
        <w:rPr>
          <w:spacing w:val="-14"/>
        </w:rPr>
        <w:t> </w:t>
      </w:r>
      <w:r>
        <w:rPr/>
        <w:t>$100,000</w:t>
      </w:r>
      <w:r>
        <w:rPr>
          <w:spacing w:val="-14"/>
        </w:rPr>
        <w:t> </w:t>
      </w:r>
      <w:r>
        <w:rPr/>
        <w:t>and</w:t>
      </w:r>
      <w:r>
        <w:rPr>
          <w:spacing w:val="-15"/>
        </w:rPr>
        <w:t> </w:t>
      </w:r>
      <w:r>
        <w:rPr/>
        <w:t>$125,000.</w:t>
      </w:r>
      <w:r>
        <w:rPr>
          <w:spacing w:val="26"/>
        </w:rPr>
        <w:t> </w:t>
      </w:r>
      <w:r>
        <w:rPr/>
        <w:t>Around</w:t>
      </w:r>
      <w:r>
        <w:rPr>
          <w:spacing w:val="-14"/>
        </w:rPr>
        <w:t> </w:t>
      </w:r>
      <w:r>
        <w:rPr/>
        <w:t>the</w:t>
      </w:r>
      <w:r>
        <w:rPr>
          <w:spacing w:val="-14"/>
        </w:rPr>
        <w:t> </w:t>
      </w:r>
      <w:r>
        <w:rPr/>
        <w:t>State</w:t>
      </w:r>
      <w:r>
        <w:rPr>
          <w:spacing w:val="-14"/>
        </w:rPr>
        <w:t> </w:t>
      </w:r>
      <w:r>
        <w:rPr/>
        <w:t>and</w:t>
      </w:r>
      <w:r>
        <w:rPr>
          <w:spacing w:val="-15"/>
        </w:rPr>
        <w:t> </w:t>
      </w:r>
      <w:r>
        <w:rPr/>
        <w:t>in</w:t>
      </w:r>
      <w:r>
        <w:rPr>
          <w:spacing w:val="-14"/>
        </w:rPr>
        <w:t> </w:t>
      </w:r>
      <w:r>
        <w:rPr/>
        <w:t>Nassau County, voters are asking their Property Appraiser how much will they</w:t>
      </w:r>
      <w:r>
        <w:rPr>
          <w:spacing w:val="-11"/>
        </w:rPr>
        <w:t> </w:t>
      </w:r>
      <w:r>
        <w:rPr/>
        <w:t>save?</w:t>
      </w:r>
    </w:p>
    <w:p>
      <w:pPr>
        <w:pStyle w:val="BodyText"/>
      </w:pPr>
    </w:p>
    <w:p>
      <w:pPr>
        <w:pStyle w:val="BodyText"/>
        <w:ind w:left="719" w:right="696"/>
        <w:jc w:val="both"/>
      </w:pPr>
      <w:r>
        <w:rPr/>
        <w:t>The Property Appraiser, A. Michael Hickox, has a map layer on his website to provide an answer to everyone in the county that has homestead exemption (</w:t>
      </w:r>
      <w:r>
        <w:rPr>
          <w:color w:val="0000FF"/>
          <w:u w:val="single" w:color="0000FF"/>
        </w:rPr>
        <w:t>www.nassauflpa.com</w:t>
      </w:r>
      <w:r>
        <w:rPr/>
        <w:t>). Hickox said, “Our website will show you, based on the most recent final 2017 values, how much of the proposed $25,000 in additional exempt value of your property you would receive. It will show what that additional exemption benefit will save you in taxes as well.”</w:t>
      </w:r>
    </w:p>
    <w:p>
      <w:pPr>
        <w:pStyle w:val="BodyText"/>
      </w:pPr>
    </w:p>
    <w:p>
      <w:pPr>
        <w:pStyle w:val="BodyText"/>
        <w:ind w:left="719" w:right="696"/>
        <w:jc w:val="both"/>
      </w:pPr>
      <w:r>
        <w:rPr/>
        <w:t>Nassau County has over 50,000 real estate parcels and approximately 22,000 properties are receiving the residency‐based homestead exemption. If this amendment passes in November, over 15,200 of those properties would receive a benefit in 2019. Not everyone with homestead will save taxes if this amendment passes. “Some people will be disappointed when they realize their value was lower than the $100,000 necessary to benefit. We want people to know what to expect before they vote, so we are putting the information for everyone to see on the website.” said Chief Deputy, Kevin Lilly.</w:t>
      </w:r>
    </w:p>
    <w:p>
      <w:pPr>
        <w:pStyle w:val="BodyText"/>
      </w:pPr>
    </w:p>
    <w:p>
      <w:pPr>
        <w:pStyle w:val="BodyText"/>
        <w:ind w:left="719" w:right="696"/>
        <w:jc w:val="both"/>
      </w:pPr>
      <w:r>
        <w:rPr/>
        <w:t>The amount of taxes saved range from $.01 to $333.32, depending on the value exempted and the millage rate in your taxing district. The typical resident with homestead receiving the full additional benefit will save about $220. In the City of Fernandina Beach, the full additional benefit would be about $333 dollars because of the higher millage rate. This additional exemption will reduce the taxable value in the County by nearly $350 million dollars, saving property owners in Nassau County over $3.2 million dollars in property taxes.</w:t>
      </w:r>
    </w:p>
    <w:p>
      <w:pPr>
        <w:pStyle w:val="BodyText"/>
      </w:pPr>
    </w:p>
    <w:p>
      <w:pPr>
        <w:pStyle w:val="BodyText"/>
        <w:ind w:left="719" w:right="696"/>
        <w:jc w:val="both"/>
      </w:pPr>
      <w:r>
        <w:rPr/>
        <w:t>That is a reduction of $350 million of an expected increase closer to $600 million for the year. With</w:t>
      </w:r>
      <w:r>
        <w:rPr>
          <w:spacing w:val="-10"/>
        </w:rPr>
        <w:t> </w:t>
      </w:r>
      <w:r>
        <w:rPr/>
        <w:t>the</w:t>
      </w:r>
      <w:r>
        <w:rPr>
          <w:spacing w:val="-10"/>
        </w:rPr>
        <w:t> </w:t>
      </w:r>
      <w:r>
        <w:rPr/>
        <w:t>expected</w:t>
      </w:r>
      <w:r>
        <w:rPr>
          <w:spacing w:val="-10"/>
        </w:rPr>
        <w:t> </w:t>
      </w:r>
      <w:r>
        <w:rPr/>
        <w:t>increase</w:t>
      </w:r>
      <w:r>
        <w:rPr>
          <w:spacing w:val="-9"/>
        </w:rPr>
        <w:t> </w:t>
      </w:r>
      <w:r>
        <w:rPr/>
        <w:t>in</w:t>
      </w:r>
      <w:r>
        <w:rPr>
          <w:spacing w:val="-10"/>
        </w:rPr>
        <w:t> </w:t>
      </w:r>
      <w:r>
        <w:rPr/>
        <w:t>market</w:t>
      </w:r>
      <w:r>
        <w:rPr>
          <w:spacing w:val="-10"/>
        </w:rPr>
        <w:t> </w:t>
      </w:r>
      <w:r>
        <w:rPr/>
        <w:t>value</w:t>
      </w:r>
      <w:r>
        <w:rPr>
          <w:spacing w:val="-9"/>
        </w:rPr>
        <w:t> </w:t>
      </w:r>
      <w:r>
        <w:rPr/>
        <w:t>and</w:t>
      </w:r>
      <w:r>
        <w:rPr>
          <w:spacing w:val="-10"/>
        </w:rPr>
        <w:t> </w:t>
      </w:r>
      <w:r>
        <w:rPr/>
        <w:t>all</w:t>
      </w:r>
      <w:r>
        <w:rPr>
          <w:spacing w:val="-10"/>
        </w:rPr>
        <w:t> </w:t>
      </w:r>
      <w:r>
        <w:rPr/>
        <w:t>of</w:t>
      </w:r>
      <w:r>
        <w:rPr>
          <w:spacing w:val="-10"/>
        </w:rPr>
        <w:t> </w:t>
      </w:r>
      <w:r>
        <w:rPr/>
        <w:t>the</w:t>
      </w:r>
      <w:r>
        <w:rPr>
          <w:spacing w:val="-10"/>
        </w:rPr>
        <w:t> </w:t>
      </w:r>
      <w:r>
        <w:rPr/>
        <w:t>new</w:t>
      </w:r>
      <w:r>
        <w:rPr>
          <w:spacing w:val="-10"/>
        </w:rPr>
        <w:t> </w:t>
      </w:r>
      <w:r>
        <w:rPr/>
        <w:t>construction,</w:t>
      </w:r>
      <w:r>
        <w:rPr>
          <w:spacing w:val="-9"/>
        </w:rPr>
        <w:t> </w:t>
      </w:r>
      <w:r>
        <w:rPr/>
        <w:t>this</w:t>
      </w:r>
      <w:r>
        <w:rPr>
          <w:spacing w:val="-11"/>
        </w:rPr>
        <w:t> </w:t>
      </w:r>
      <w:r>
        <w:rPr/>
        <w:t>exemption</w:t>
      </w:r>
      <w:r>
        <w:rPr>
          <w:spacing w:val="-11"/>
        </w:rPr>
        <w:t> </w:t>
      </w:r>
      <w:r>
        <w:rPr/>
        <w:t>is</w:t>
      </w:r>
      <w:r>
        <w:rPr>
          <w:spacing w:val="-10"/>
        </w:rPr>
        <w:t> </w:t>
      </w:r>
      <w:r>
        <w:rPr/>
        <w:t>not expected to be a reduction in overall County taxable value, but a reduction of the percent of taxable value increase from the previous</w:t>
      </w:r>
      <w:r>
        <w:rPr>
          <w:spacing w:val="-1"/>
        </w:rPr>
        <w:t> </w:t>
      </w:r>
      <w:r>
        <w:rPr/>
        <w:t>year.</w:t>
      </w:r>
    </w:p>
    <w:p>
      <w:pPr>
        <w:pStyle w:val="BodyText"/>
      </w:pPr>
    </w:p>
    <w:p>
      <w:pPr>
        <w:pStyle w:val="BodyText"/>
        <w:ind w:left="719" w:right="696"/>
        <w:jc w:val="both"/>
      </w:pPr>
      <w:r>
        <w:rPr/>
        <w:t>If the taxpayers said “I was going to give the County a raise in taxes of $4 million, but now I’m only going to give you a raise of $1.7 million this year. Did the County lose money from their budget? No, they are getting less of an increase than they wanted for that year. It will be up to your</w:t>
      </w:r>
      <w:r>
        <w:rPr>
          <w:spacing w:val="-5"/>
        </w:rPr>
        <w:t> </w:t>
      </w:r>
      <w:r>
        <w:rPr/>
        <w:t>County</w:t>
      </w:r>
      <w:r>
        <w:rPr>
          <w:spacing w:val="-4"/>
        </w:rPr>
        <w:t> </w:t>
      </w:r>
      <w:r>
        <w:rPr/>
        <w:t>Commissioners</w:t>
      </w:r>
      <w:r>
        <w:rPr>
          <w:spacing w:val="-5"/>
        </w:rPr>
        <w:t> </w:t>
      </w:r>
      <w:r>
        <w:rPr/>
        <w:t>and</w:t>
      </w:r>
      <w:r>
        <w:rPr>
          <w:spacing w:val="-4"/>
        </w:rPr>
        <w:t> </w:t>
      </w:r>
      <w:r>
        <w:rPr/>
        <w:t>the</w:t>
      </w:r>
      <w:r>
        <w:rPr>
          <w:spacing w:val="-5"/>
        </w:rPr>
        <w:t> </w:t>
      </w:r>
      <w:r>
        <w:rPr/>
        <w:t>other</w:t>
      </w:r>
      <w:r>
        <w:rPr>
          <w:spacing w:val="-5"/>
        </w:rPr>
        <w:t> </w:t>
      </w:r>
      <w:r>
        <w:rPr/>
        <w:t>taxing</w:t>
      </w:r>
      <w:r>
        <w:rPr>
          <w:spacing w:val="-4"/>
        </w:rPr>
        <w:t> </w:t>
      </w:r>
      <w:r>
        <w:rPr/>
        <w:t>districts</w:t>
      </w:r>
      <w:r>
        <w:rPr>
          <w:spacing w:val="-5"/>
        </w:rPr>
        <w:t> </w:t>
      </w:r>
      <w:r>
        <w:rPr/>
        <w:t>to</w:t>
      </w:r>
      <w:r>
        <w:rPr>
          <w:spacing w:val="-5"/>
        </w:rPr>
        <w:t> </w:t>
      </w:r>
      <w:r>
        <w:rPr/>
        <w:t>decide</w:t>
      </w:r>
      <w:r>
        <w:rPr>
          <w:spacing w:val="-4"/>
        </w:rPr>
        <w:t> </w:t>
      </w:r>
      <w:r>
        <w:rPr/>
        <w:t>what</w:t>
      </w:r>
      <w:r>
        <w:rPr>
          <w:spacing w:val="-5"/>
        </w:rPr>
        <w:t> </w:t>
      </w:r>
      <w:r>
        <w:rPr/>
        <w:t>to</w:t>
      </w:r>
      <w:r>
        <w:rPr>
          <w:spacing w:val="-5"/>
        </w:rPr>
        <w:t> </w:t>
      </w:r>
      <w:r>
        <w:rPr/>
        <w:t>do</w:t>
      </w:r>
      <w:r>
        <w:rPr>
          <w:spacing w:val="-5"/>
        </w:rPr>
        <w:t> </w:t>
      </w:r>
      <w:r>
        <w:rPr/>
        <w:t>with</w:t>
      </w:r>
      <w:r>
        <w:rPr>
          <w:spacing w:val="-2"/>
        </w:rPr>
        <w:t> </w:t>
      </w:r>
      <w:r>
        <w:rPr/>
        <w:t>setting</w:t>
      </w:r>
      <w:r>
        <w:rPr>
          <w:spacing w:val="-5"/>
        </w:rPr>
        <w:t> </w:t>
      </w:r>
      <w:r>
        <w:rPr/>
        <w:t>their</w:t>
      </w:r>
    </w:p>
    <w:p>
      <w:pPr>
        <w:spacing w:after="0"/>
        <w:jc w:val="both"/>
        <w:sectPr>
          <w:type w:val="continuous"/>
          <w:pgSz w:w="12240" w:h="15840"/>
          <w:pgMar w:top="280" w:bottom="280" w:left="720" w:right="740"/>
        </w:sectPr>
      </w:pPr>
    </w:p>
    <w:p>
      <w:pPr>
        <w:pStyle w:val="BodyText"/>
        <w:rPr>
          <w:sz w:val="20"/>
        </w:rPr>
      </w:pPr>
    </w:p>
    <w:p>
      <w:pPr>
        <w:pStyle w:val="BodyText"/>
        <w:spacing w:before="185"/>
        <w:ind w:left="719" w:right="696"/>
        <w:jc w:val="both"/>
      </w:pPr>
      <w:r>
        <w:rPr/>
        <w:t>tax rate. “All of the articles and news about this amendment passing and the negative consequences</w:t>
      </w:r>
      <w:r>
        <w:rPr>
          <w:spacing w:val="-11"/>
        </w:rPr>
        <w:t> </w:t>
      </w:r>
      <w:r>
        <w:rPr/>
        <w:t>are</w:t>
      </w:r>
      <w:r>
        <w:rPr>
          <w:spacing w:val="-11"/>
        </w:rPr>
        <w:t> </w:t>
      </w:r>
      <w:r>
        <w:rPr/>
        <w:t>coming</w:t>
      </w:r>
      <w:r>
        <w:rPr>
          <w:spacing w:val="-10"/>
        </w:rPr>
        <w:t> </w:t>
      </w:r>
      <w:r>
        <w:rPr/>
        <w:t>from</w:t>
      </w:r>
      <w:r>
        <w:rPr>
          <w:spacing w:val="-9"/>
        </w:rPr>
        <w:t> </w:t>
      </w:r>
      <w:r>
        <w:rPr/>
        <w:t>government</w:t>
      </w:r>
      <w:r>
        <w:rPr>
          <w:spacing w:val="-11"/>
        </w:rPr>
        <w:t> </w:t>
      </w:r>
      <w:r>
        <w:rPr/>
        <w:t>bureaucrats.</w:t>
      </w:r>
      <w:r>
        <w:rPr>
          <w:spacing w:val="36"/>
        </w:rPr>
        <w:t> </w:t>
      </w:r>
      <w:r>
        <w:rPr/>
        <w:t>I</w:t>
      </w:r>
      <w:r>
        <w:rPr>
          <w:spacing w:val="-10"/>
        </w:rPr>
        <w:t> </w:t>
      </w:r>
      <w:r>
        <w:rPr/>
        <w:t>haven’t</w:t>
      </w:r>
      <w:r>
        <w:rPr>
          <w:spacing w:val="-9"/>
        </w:rPr>
        <w:t> </w:t>
      </w:r>
      <w:r>
        <w:rPr/>
        <w:t>heard</w:t>
      </w:r>
      <w:r>
        <w:rPr>
          <w:spacing w:val="-11"/>
        </w:rPr>
        <w:t> </w:t>
      </w:r>
      <w:r>
        <w:rPr/>
        <w:t>one</w:t>
      </w:r>
      <w:r>
        <w:rPr>
          <w:spacing w:val="-9"/>
        </w:rPr>
        <w:t> </w:t>
      </w:r>
      <w:r>
        <w:rPr/>
        <w:t>taxpayer</w:t>
      </w:r>
      <w:r>
        <w:rPr>
          <w:spacing w:val="-10"/>
        </w:rPr>
        <w:t> </w:t>
      </w:r>
      <w:r>
        <w:rPr/>
        <w:t>complain they could save some property taxes,” said Hickox. “I believe it will pass and the sky will not fall in Nassau County because of this</w:t>
      </w:r>
      <w:r>
        <w:rPr>
          <w:spacing w:val="-5"/>
        </w:rPr>
        <w:t> </w:t>
      </w:r>
      <w:r>
        <w:rPr/>
        <w:t>amendment.”</w:t>
      </w:r>
    </w:p>
    <w:p>
      <w:pPr>
        <w:pStyle w:val="BodyText"/>
        <w:spacing w:before="11"/>
        <w:rPr>
          <w:sz w:val="23"/>
        </w:rPr>
      </w:pPr>
    </w:p>
    <w:p>
      <w:pPr>
        <w:pStyle w:val="BodyText"/>
        <w:ind w:left="720" w:right="698"/>
        <w:jc w:val="both"/>
      </w:pPr>
      <w:r>
        <w:rPr/>
        <w:t>“As</w:t>
      </w:r>
      <w:r>
        <w:rPr>
          <w:spacing w:val="-13"/>
        </w:rPr>
        <w:t> </w:t>
      </w:r>
      <w:r>
        <w:rPr/>
        <w:t>I</w:t>
      </w:r>
      <w:r>
        <w:rPr>
          <w:spacing w:val="-13"/>
        </w:rPr>
        <w:t> </w:t>
      </w:r>
      <w:r>
        <w:rPr/>
        <w:t>have</w:t>
      </w:r>
      <w:r>
        <w:rPr>
          <w:spacing w:val="-12"/>
        </w:rPr>
        <w:t> </w:t>
      </w:r>
      <w:r>
        <w:rPr/>
        <w:t>said,</w:t>
      </w:r>
      <w:r>
        <w:rPr>
          <w:spacing w:val="-12"/>
        </w:rPr>
        <w:t> </w:t>
      </w:r>
      <w:r>
        <w:rPr/>
        <w:t>I</w:t>
      </w:r>
      <w:r>
        <w:rPr>
          <w:spacing w:val="-14"/>
        </w:rPr>
        <w:t> </w:t>
      </w:r>
      <w:r>
        <w:rPr/>
        <w:t>determine</w:t>
      </w:r>
      <w:r>
        <w:rPr>
          <w:spacing w:val="-11"/>
        </w:rPr>
        <w:t> </w:t>
      </w:r>
      <w:r>
        <w:rPr/>
        <w:t>the</w:t>
      </w:r>
      <w:r>
        <w:rPr>
          <w:spacing w:val="-13"/>
        </w:rPr>
        <w:t> </w:t>
      </w:r>
      <w:r>
        <w:rPr/>
        <w:t>values</w:t>
      </w:r>
      <w:r>
        <w:rPr>
          <w:spacing w:val="-13"/>
        </w:rPr>
        <w:t> </w:t>
      </w:r>
      <w:r>
        <w:rPr/>
        <w:t>and</w:t>
      </w:r>
      <w:r>
        <w:rPr>
          <w:spacing w:val="-13"/>
        </w:rPr>
        <w:t> </w:t>
      </w:r>
      <w:r>
        <w:rPr/>
        <w:t>administer</w:t>
      </w:r>
      <w:r>
        <w:rPr>
          <w:spacing w:val="-12"/>
        </w:rPr>
        <w:t> </w:t>
      </w:r>
      <w:r>
        <w:rPr/>
        <w:t>exemptions,</w:t>
      </w:r>
      <w:r>
        <w:rPr>
          <w:spacing w:val="-14"/>
        </w:rPr>
        <w:t> </w:t>
      </w:r>
      <w:r>
        <w:rPr/>
        <w:t>commissioners</w:t>
      </w:r>
      <w:r>
        <w:rPr>
          <w:spacing w:val="-13"/>
        </w:rPr>
        <w:t> </w:t>
      </w:r>
      <w:r>
        <w:rPr/>
        <w:t>set</w:t>
      </w:r>
      <w:r>
        <w:rPr>
          <w:spacing w:val="-13"/>
        </w:rPr>
        <w:t> </w:t>
      </w:r>
      <w:r>
        <w:rPr/>
        <w:t>your</w:t>
      </w:r>
      <w:r>
        <w:rPr>
          <w:spacing w:val="-13"/>
        </w:rPr>
        <w:t> </w:t>
      </w:r>
      <w:r>
        <w:rPr/>
        <w:t>taxes! Stay tuned and as always, please contact us if you have questions about your values or exemptions.”</w:t>
      </w:r>
    </w:p>
    <w:p>
      <w:pPr>
        <w:pStyle w:val="BodyText"/>
      </w:pPr>
    </w:p>
    <w:p>
      <w:pPr>
        <w:pStyle w:val="BodyText"/>
        <w:spacing w:before="1"/>
        <w:ind w:left="720" w:right="698"/>
        <w:jc w:val="both"/>
      </w:pPr>
      <w:r>
        <w:rPr/>
        <w:t>Anyone</w:t>
      </w:r>
      <w:r>
        <w:rPr>
          <w:spacing w:val="-4"/>
        </w:rPr>
        <w:t> </w:t>
      </w:r>
      <w:r>
        <w:rPr/>
        <w:t>unsure</w:t>
      </w:r>
      <w:r>
        <w:rPr>
          <w:spacing w:val="-3"/>
        </w:rPr>
        <w:t> </w:t>
      </w:r>
      <w:r>
        <w:rPr/>
        <w:t>about</w:t>
      </w:r>
      <w:r>
        <w:rPr>
          <w:spacing w:val="-4"/>
        </w:rPr>
        <w:t> </w:t>
      </w:r>
      <w:r>
        <w:rPr/>
        <w:t>their</w:t>
      </w:r>
      <w:r>
        <w:rPr>
          <w:spacing w:val="-3"/>
        </w:rPr>
        <w:t> </w:t>
      </w:r>
      <w:r>
        <w:rPr/>
        <w:t>exemption</w:t>
      </w:r>
      <w:r>
        <w:rPr>
          <w:spacing w:val="-4"/>
        </w:rPr>
        <w:t> </w:t>
      </w:r>
      <w:r>
        <w:rPr/>
        <w:t>status</w:t>
      </w:r>
      <w:r>
        <w:rPr>
          <w:spacing w:val="-4"/>
        </w:rPr>
        <w:t> </w:t>
      </w:r>
      <w:r>
        <w:rPr/>
        <w:t>may</w:t>
      </w:r>
      <w:r>
        <w:rPr>
          <w:spacing w:val="-3"/>
        </w:rPr>
        <w:t> </w:t>
      </w:r>
      <w:r>
        <w:rPr/>
        <w:t>contact</w:t>
      </w:r>
      <w:r>
        <w:rPr>
          <w:spacing w:val="-3"/>
        </w:rPr>
        <w:t> </w:t>
      </w:r>
      <w:r>
        <w:rPr/>
        <w:t>our</w:t>
      </w:r>
      <w:r>
        <w:rPr>
          <w:spacing w:val="-3"/>
        </w:rPr>
        <w:t> </w:t>
      </w:r>
      <w:r>
        <w:rPr/>
        <w:t>office</w:t>
      </w:r>
      <w:r>
        <w:rPr>
          <w:spacing w:val="-3"/>
        </w:rPr>
        <w:t> </w:t>
      </w:r>
      <w:r>
        <w:rPr/>
        <w:t>by</w:t>
      </w:r>
      <w:r>
        <w:rPr>
          <w:spacing w:val="-4"/>
        </w:rPr>
        <w:t> </w:t>
      </w:r>
      <w:r>
        <w:rPr/>
        <w:t>email</w:t>
      </w:r>
      <w:r>
        <w:rPr>
          <w:spacing w:val="-4"/>
        </w:rPr>
        <w:t> </w:t>
      </w:r>
      <w:r>
        <w:rPr/>
        <w:t>through</w:t>
      </w:r>
      <w:r>
        <w:rPr>
          <w:spacing w:val="-3"/>
        </w:rPr>
        <w:t> </w:t>
      </w:r>
      <w:r>
        <w:rPr/>
        <w:t>the</w:t>
      </w:r>
      <w:r>
        <w:rPr>
          <w:spacing w:val="-3"/>
        </w:rPr>
        <w:t> </w:t>
      </w:r>
      <w:r>
        <w:rPr/>
        <w:t>link</w:t>
      </w:r>
      <w:r>
        <w:rPr>
          <w:spacing w:val="-3"/>
        </w:rPr>
        <w:t> </w:t>
      </w:r>
      <w:r>
        <w:rPr/>
        <w:t>at the top right of our website</w:t>
      </w:r>
      <w:r>
        <w:rPr>
          <w:spacing w:val="-6"/>
        </w:rPr>
        <w:t> </w:t>
      </w:r>
      <w:hyperlink r:id="rId8">
        <w:r>
          <w:rPr>
            <w:color w:val="0000FF"/>
            <w:u w:val="single" w:color="0000FF"/>
          </w:rPr>
          <w:t>http://www.nassauflpa.com/home</w:t>
        </w:r>
      </w:hyperlink>
    </w:p>
    <w:p>
      <w:pPr>
        <w:pStyle w:val="BodyText"/>
        <w:rPr>
          <w:sz w:val="20"/>
        </w:rPr>
      </w:pPr>
    </w:p>
    <w:p>
      <w:pPr>
        <w:pStyle w:val="BodyText"/>
        <w:spacing w:before="8"/>
        <w:rPr>
          <w:sz w:val="23"/>
        </w:rPr>
      </w:pPr>
    </w:p>
    <w:p>
      <w:pPr>
        <w:pStyle w:val="BodyText"/>
        <w:spacing w:before="52"/>
        <w:ind w:left="720" w:right="694"/>
      </w:pPr>
      <w:r>
        <w:rPr/>
        <w:t>Or, go to </w:t>
      </w:r>
      <w:hyperlink r:id="rId9">
        <w:r>
          <w:rPr>
            <w:color w:val="0000FF"/>
            <w:u w:val="single" w:color="0000FF"/>
          </w:rPr>
          <w:t>www.3hxestimator.org</w:t>
        </w:r>
      </w:hyperlink>
      <w:r>
        <w:rPr>
          <w:color w:val="0000FF"/>
        </w:rPr>
        <w:t> </w:t>
      </w:r>
      <w:r>
        <w:rPr/>
        <w:t>and select a county and enter an address for more information on tax savings in that county.</w:t>
      </w:r>
    </w:p>
    <w:p>
      <w:pPr>
        <w:pStyle w:val="BodyText"/>
        <w:spacing w:before="1"/>
        <w:rPr>
          <w:sz w:val="23"/>
        </w:rPr>
      </w:pPr>
    </w:p>
    <w:p>
      <w:pPr>
        <w:spacing w:before="0"/>
        <w:ind w:left="720" w:right="0" w:firstLine="0"/>
        <w:jc w:val="left"/>
        <w:rPr>
          <w:rFonts w:ascii="Arial"/>
          <w:b/>
          <w:i/>
          <w:sz w:val="36"/>
        </w:rPr>
      </w:pPr>
      <w:r>
        <w:rPr>
          <w:rFonts w:ascii="Arial"/>
          <w:b/>
          <w:i/>
          <w:sz w:val="36"/>
        </w:rPr>
        <w:t>Will You Benefit?</w:t>
      </w:r>
    </w:p>
    <w:p>
      <w:pPr>
        <w:spacing w:line="276" w:lineRule="auto" w:before="279"/>
        <w:ind w:left="720" w:right="795" w:firstLine="0"/>
        <w:jc w:val="left"/>
        <w:rPr>
          <w:rFonts w:ascii="Arial"/>
          <w:sz w:val="22"/>
        </w:rPr>
      </w:pPr>
      <w:r>
        <w:rPr>
          <w:rFonts w:ascii="Arial"/>
          <w:sz w:val="22"/>
        </w:rPr>
        <w:t>Find out if you will receive any exemption benefit from the proposed 3rd Homestead Exemption (Additional $25,000) on the ballot for the November 6, 2018 General Election.</w:t>
      </w:r>
    </w:p>
    <w:p>
      <w:pPr>
        <w:spacing w:before="0"/>
        <w:ind w:left="720" w:right="0" w:firstLine="0"/>
        <w:jc w:val="left"/>
        <w:rPr>
          <w:rFonts w:ascii="Arial"/>
          <w:sz w:val="22"/>
        </w:rPr>
      </w:pPr>
      <w:r>
        <w:rPr>
          <w:rFonts w:ascii="Arial"/>
          <w:color w:val="0000FF"/>
          <w:sz w:val="22"/>
          <w:u w:val="single" w:color="0000FF"/>
        </w:rPr>
        <w:t>Understanding the 1st, 2nd, and 3rd Homestead Exemption</w:t>
      </w:r>
    </w:p>
    <w:p>
      <w:pPr>
        <w:pStyle w:val="BodyText"/>
        <w:rPr>
          <w:rFonts w:ascii="Arial"/>
          <w:sz w:val="20"/>
        </w:rPr>
      </w:pPr>
    </w:p>
    <w:p>
      <w:pPr>
        <w:pStyle w:val="BodyText"/>
        <w:spacing w:before="11"/>
        <w:rPr>
          <w:rFonts w:ascii="Arial"/>
          <w:sz w:val="21"/>
        </w:rPr>
      </w:pPr>
    </w:p>
    <w:p>
      <w:pPr>
        <w:spacing w:before="0"/>
        <w:ind w:left="720" w:right="0" w:firstLine="0"/>
        <w:jc w:val="left"/>
        <w:rPr>
          <w:rFonts w:ascii="Arial"/>
          <w:b/>
          <w:sz w:val="22"/>
        </w:rPr>
      </w:pPr>
      <w:r>
        <w:rPr/>
        <w:pict>
          <v:group style="position:absolute;margin-left:186.899994pt;margin-top:-7.682584pt;width:90.8pt;height:17.3pt;mso-position-horizontal-relative:page;mso-position-vertical-relative:paragraph;z-index:1168" coordorigin="3738,-154" coordsize="1816,346">
            <v:line style="position:absolute" from="3746,-154" to="3746,192" stroked="true" strokeweight=".78pt" strokecolor="#7f7f7f">
              <v:stroke dashstyle="solid"/>
            </v:line>
            <v:line style="position:absolute" from="3754,-146" to="5554,-146" stroked="true" strokeweight=".78pt" strokecolor="#7f7f7f">
              <v:stroke dashstyle="solid"/>
            </v:line>
            <v:shape style="position:absolute;left:3753;top:-139;width:1793;height:330" coordorigin="3754,-138" coordsize="1793,330" path="m5546,-138l5546,192m3754,184l5538,184e" filled="false" stroked="true" strokeweight=".78pt" strokecolor="#d4d0c8">
              <v:path arrowok="t"/>
              <v:stroke dashstyle="solid"/>
            </v:shape>
            <v:line style="position:absolute" from="3761,-138" to="3761,176" stroked="true" strokeweight=".72pt" strokecolor="#3f3f3f">
              <v:stroke dashstyle="solid"/>
            </v:line>
            <v:line style="position:absolute" from="3768,-131" to="5538,-131" stroked="true" strokeweight=".72pt" strokecolor="#3f3f3f">
              <v:stroke dashstyle="solid"/>
            </v:line>
            <v:shape style="position:absolute;left:5298;top:-124;width:240;height:300" type="#_x0000_t75" stroked="false">
              <v:imagedata r:id="rId10" o:title=""/>
            </v:shape>
            <v:shapetype id="_x0000_t202" o:spt="202" coordsize="21600,21600" path="m,l,21600r21600,l21600,xe">
              <v:stroke joinstyle="miter"/>
              <v:path gradientshapeok="t" o:connecttype="rect"/>
            </v:shapetype>
            <v:shape style="position:absolute;left:3768;top:-124;width:1770;height:300" type="#_x0000_t202" filled="false" stroked="false">
              <v:textbox inset="0,0,0,0">
                <w:txbxContent>
                  <w:p>
                    <w:pPr>
                      <w:spacing w:before="28"/>
                      <w:ind w:left="149" w:right="0" w:firstLine="0"/>
                      <w:jc w:val="left"/>
                      <w:rPr>
                        <w:rFonts w:ascii="Arial"/>
                        <w:sz w:val="16"/>
                      </w:rPr>
                    </w:pPr>
                    <w:r>
                      <w:rPr>
                        <w:rFonts w:ascii="Arial"/>
                        <w:w w:val="105"/>
                        <w:sz w:val="16"/>
                      </w:rPr>
                      <w:t>Select County</w:t>
                    </w:r>
                  </w:p>
                </w:txbxContent>
              </v:textbox>
              <w10:wrap type="none"/>
            </v:shape>
            <w10:wrap type="none"/>
          </v:group>
        </w:pict>
      </w:r>
      <w:r>
        <w:rPr>
          <w:rFonts w:ascii="Arial"/>
          <w:b/>
          <w:sz w:val="22"/>
        </w:rPr>
        <w:t>Choose your County:</w:t>
      </w:r>
    </w:p>
    <w:p>
      <w:pPr>
        <w:pStyle w:val="BodyText"/>
        <w:spacing w:before="8"/>
        <w:rPr>
          <w:rFonts w:ascii="Arial"/>
          <w:b/>
          <w:sz w:val="20"/>
        </w:rPr>
      </w:pPr>
    </w:p>
    <w:p>
      <w:pPr>
        <w:pStyle w:val="BodyText"/>
        <w:ind w:left="720"/>
        <w:rPr>
          <w:rFonts w:ascii="Arial"/>
        </w:rPr>
      </w:pPr>
      <w:r>
        <w:rPr>
          <w:rFonts w:ascii="Arial"/>
        </w:rPr>
        <w:t>Please Note:</w:t>
      </w:r>
    </w:p>
    <w:p>
      <w:pPr>
        <w:pStyle w:val="ListParagraph"/>
        <w:numPr>
          <w:ilvl w:val="0"/>
          <w:numId w:val="1"/>
        </w:numPr>
        <w:tabs>
          <w:tab w:pos="1439" w:val="left" w:leader="none"/>
          <w:tab w:pos="1440" w:val="left" w:leader="none"/>
        </w:tabs>
        <w:spacing w:line="240" w:lineRule="auto" w:before="90" w:after="0"/>
        <w:ind w:left="1440" w:right="0" w:hanging="360"/>
        <w:jc w:val="left"/>
        <w:rPr>
          <w:i/>
          <w:sz w:val="22"/>
        </w:rPr>
      </w:pPr>
      <w:r>
        <w:rPr>
          <w:i/>
          <w:sz w:val="22"/>
        </w:rPr>
        <w:t>All calculations are based on 2017 assessment roll data and 2017 final millage</w:t>
      </w:r>
      <w:r>
        <w:rPr>
          <w:i/>
          <w:spacing w:val="-10"/>
          <w:sz w:val="22"/>
        </w:rPr>
        <w:t> </w:t>
      </w:r>
      <w:r>
        <w:rPr>
          <w:i/>
          <w:sz w:val="22"/>
        </w:rPr>
        <w:t>rates.</w:t>
      </w:r>
    </w:p>
    <w:p>
      <w:pPr>
        <w:pStyle w:val="ListParagraph"/>
        <w:numPr>
          <w:ilvl w:val="0"/>
          <w:numId w:val="1"/>
        </w:numPr>
        <w:tabs>
          <w:tab w:pos="1439" w:val="left" w:leader="none"/>
          <w:tab w:pos="1440" w:val="left" w:leader="none"/>
        </w:tabs>
        <w:spacing w:line="240" w:lineRule="auto" w:before="90" w:after="0"/>
        <w:ind w:left="1440" w:right="1634" w:hanging="360"/>
        <w:jc w:val="left"/>
        <w:rPr>
          <w:i/>
          <w:sz w:val="22"/>
        </w:rPr>
      </w:pPr>
      <w:r>
        <w:rPr>
          <w:i/>
          <w:sz w:val="22"/>
        </w:rPr>
        <w:t>Recent purchases in 2017 and 2018 may show $0 benefit as a new</w:t>
      </w:r>
      <w:r>
        <w:rPr>
          <w:i/>
          <w:spacing w:val="-18"/>
          <w:sz w:val="22"/>
        </w:rPr>
        <w:t> </w:t>
      </w:r>
      <w:r>
        <w:rPr>
          <w:i/>
          <w:sz w:val="22"/>
        </w:rPr>
        <w:t>homestead </w:t>
      </w:r>
      <w:r>
        <w:rPr>
          <w:i/>
          <w:sz w:val="22"/>
        </w:rPr>
        <w:t>application may not yet be reflected at this</w:t>
      </w:r>
      <w:r>
        <w:rPr>
          <w:i/>
          <w:spacing w:val="-5"/>
          <w:sz w:val="22"/>
        </w:rPr>
        <w:t> </w:t>
      </w:r>
      <w:r>
        <w:rPr>
          <w:i/>
          <w:sz w:val="22"/>
        </w:rPr>
        <w:t>address.</w:t>
      </w:r>
    </w:p>
    <w:p>
      <w:pPr>
        <w:pStyle w:val="ListParagraph"/>
        <w:numPr>
          <w:ilvl w:val="0"/>
          <w:numId w:val="1"/>
        </w:numPr>
        <w:tabs>
          <w:tab w:pos="1439" w:val="left" w:leader="none"/>
          <w:tab w:pos="1440" w:val="left" w:leader="none"/>
        </w:tabs>
        <w:spacing w:line="240" w:lineRule="auto" w:before="89" w:after="0"/>
        <w:ind w:left="1440" w:right="924" w:hanging="360"/>
        <w:jc w:val="left"/>
        <w:rPr>
          <w:i/>
          <w:sz w:val="22"/>
        </w:rPr>
      </w:pPr>
      <w:r>
        <w:rPr>
          <w:i/>
          <w:sz w:val="22"/>
        </w:rPr>
        <w:t>Assessed value must exceed $100,000 to receive any benefit from the 3rd Homestead </w:t>
      </w:r>
      <w:r>
        <w:rPr>
          <w:i/>
          <w:sz w:val="22"/>
        </w:rPr>
        <w:t>Exemption.</w:t>
      </w:r>
    </w:p>
    <w:p>
      <w:pPr>
        <w:pStyle w:val="ListParagraph"/>
        <w:numPr>
          <w:ilvl w:val="0"/>
          <w:numId w:val="1"/>
        </w:numPr>
        <w:tabs>
          <w:tab w:pos="1439" w:val="left" w:leader="none"/>
          <w:tab w:pos="1440" w:val="left" w:leader="none"/>
        </w:tabs>
        <w:spacing w:line="240" w:lineRule="auto" w:before="91" w:after="0"/>
        <w:ind w:left="1440" w:right="1293" w:hanging="360"/>
        <w:jc w:val="left"/>
        <w:rPr>
          <w:i/>
          <w:sz w:val="22"/>
        </w:rPr>
      </w:pPr>
      <w:r>
        <w:rPr>
          <w:i/>
          <w:sz w:val="22"/>
        </w:rPr>
        <w:t>Full (100%) benefit from the 3rd Homestead Exemption is not received unless</w:t>
      </w:r>
      <w:r>
        <w:rPr>
          <w:i/>
          <w:spacing w:val="-20"/>
          <w:sz w:val="22"/>
        </w:rPr>
        <w:t> </w:t>
      </w:r>
      <w:r>
        <w:rPr>
          <w:i/>
          <w:sz w:val="22"/>
        </w:rPr>
        <w:t>your </w:t>
      </w:r>
      <w:r>
        <w:rPr>
          <w:i/>
          <w:sz w:val="22"/>
        </w:rPr>
        <w:t>property's Assessed Value is greater than or equal to</w:t>
      </w:r>
      <w:r>
        <w:rPr>
          <w:i/>
          <w:spacing w:val="-6"/>
          <w:sz w:val="22"/>
        </w:rPr>
        <w:t> </w:t>
      </w:r>
      <w:r>
        <w:rPr>
          <w:i/>
          <w:sz w:val="22"/>
        </w:rPr>
        <w:t>$125,000.</w:t>
      </w:r>
    </w:p>
    <w:p>
      <w:pPr>
        <w:pStyle w:val="ListParagraph"/>
        <w:numPr>
          <w:ilvl w:val="0"/>
          <w:numId w:val="1"/>
        </w:numPr>
        <w:tabs>
          <w:tab w:pos="1439" w:val="left" w:leader="none"/>
          <w:tab w:pos="1440" w:val="left" w:leader="none"/>
        </w:tabs>
        <w:spacing w:line="240" w:lineRule="auto" w:before="90" w:after="0"/>
        <w:ind w:left="1440" w:right="1228" w:hanging="360"/>
        <w:jc w:val="left"/>
        <w:rPr>
          <w:i/>
          <w:sz w:val="22"/>
        </w:rPr>
      </w:pPr>
      <w:r>
        <w:rPr>
          <w:i/>
          <w:sz w:val="22"/>
        </w:rPr>
        <w:t>Estimates assume no partial homesteads. Homestead percentages less than 100% </w:t>
      </w:r>
      <w:r>
        <w:rPr>
          <w:i/>
          <w:sz w:val="22"/>
        </w:rPr>
        <w:t>would result in a lower</w:t>
      </w:r>
      <w:r>
        <w:rPr>
          <w:i/>
          <w:spacing w:val="-2"/>
          <w:sz w:val="22"/>
        </w:rPr>
        <w:t> </w:t>
      </w:r>
      <w:r>
        <w:rPr>
          <w:i/>
          <w:sz w:val="22"/>
        </w:rPr>
        <w:t>estimate.</w:t>
      </w:r>
    </w:p>
    <w:p>
      <w:pPr>
        <w:pStyle w:val="ListParagraph"/>
        <w:numPr>
          <w:ilvl w:val="0"/>
          <w:numId w:val="1"/>
        </w:numPr>
        <w:tabs>
          <w:tab w:pos="1439" w:val="left" w:leader="none"/>
          <w:tab w:pos="1440" w:val="left" w:leader="none"/>
        </w:tabs>
        <w:spacing w:line="240" w:lineRule="auto" w:before="91" w:after="0"/>
        <w:ind w:left="1440" w:right="0" w:hanging="360"/>
        <w:jc w:val="left"/>
        <w:rPr>
          <w:i/>
          <w:sz w:val="22"/>
        </w:rPr>
      </w:pPr>
      <w:r>
        <w:rPr>
          <w:i/>
          <w:sz w:val="22"/>
        </w:rPr>
        <w:t>If passed, this exemption would take effect January 1, 2019 for the 2019 tax</w:t>
      </w:r>
      <w:r>
        <w:rPr>
          <w:i/>
          <w:spacing w:val="-8"/>
          <w:sz w:val="22"/>
        </w:rPr>
        <w:t> </w:t>
      </w:r>
      <w:r>
        <w:rPr>
          <w:i/>
          <w:sz w:val="22"/>
        </w:rPr>
        <w:t>year.</w:t>
      </w:r>
    </w:p>
    <w:p>
      <w:pPr>
        <w:spacing w:before="89"/>
        <w:ind w:left="719" w:right="0" w:firstLine="0"/>
        <w:jc w:val="left"/>
        <w:rPr>
          <w:rFonts w:ascii="Arial"/>
          <w:b/>
          <w:i/>
          <w:sz w:val="22"/>
        </w:rPr>
      </w:pPr>
      <w:r>
        <w:rPr>
          <w:rFonts w:ascii="Arial"/>
          <w:b/>
          <w:i/>
          <w:sz w:val="22"/>
        </w:rPr>
        <w:t>Brought to you by your participating Florida County Property Appraisers</w:t>
      </w:r>
    </w:p>
    <w:p>
      <w:pPr>
        <w:pStyle w:val="BodyText"/>
        <w:rPr>
          <w:rFonts w:ascii="Arial"/>
          <w:b/>
          <w:i/>
        </w:rPr>
      </w:pPr>
    </w:p>
    <w:p>
      <w:pPr>
        <w:pStyle w:val="BodyText"/>
        <w:spacing w:before="10"/>
        <w:rPr>
          <w:rFonts w:ascii="Arial"/>
          <w:b/>
          <w:i/>
          <w:sz w:val="26"/>
        </w:rPr>
      </w:pPr>
    </w:p>
    <w:p>
      <w:pPr>
        <w:pStyle w:val="BodyText"/>
        <w:ind w:left="1883" w:right="1863"/>
        <w:jc w:val="center"/>
      </w:pPr>
      <w:r>
        <w:rPr/>
        <w:t>###</w:t>
      </w:r>
    </w:p>
    <w:sectPr>
      <w:pgSz w:w="12240" w:h="15840"/>
      <w:pgMar w:top="1500" w:bottom="280" w:left="7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40" w:hanging="360"/>
      </w:pPr>
      <w:rPr>
        <w:rFonts w:hint="default" w:ascii="Symbol" w:hAnsi="Symbol" w:eastAsia="Symbol" w:cs="Symbol"/>
        <w:w w:val="100"/>
        <w:sz w:val="20"/>
        <w:szCs w:val="20"/>
      </w:rPr>
    </w:lvl>
    <w:lvl w:ilvl="1">
      <w:start w:val="0"/>
      <w:numFmt w:val="bullet"/>
      <w:lvlText w:val="•"/>
      <w:lvlJc w:val="left"/>
      <w:pPr>
        <w:ind w:left="2374" w:hanging="360"/>
      </w:pPr>
      <w:rPr>
        <w:rFonts w:hint="default"/>
      </w:rPr>
    </w:lvl>
    <w:lvl w:ilvl="2">
      <w:start w:val="0"/>
      <w:numFmt w:val="bullet"/>
      <w:lvlText w:val="•"/>
      <w:lvlJc w:val="left"/>
      <w:pPr>
        <w:ind w:left="3308" w:hanging="360"/>
      </w:pPr>
      <w:rPr>
        <w:rFonts w:hint="default"/>
      </w:rPr>
    </w:lvl>
    <w:lvl w:ilvl="3">
      <w:start w:val="0"/>
      <w:numFmt w:val="bullet"/>
      <w:lvlText w:val="•"/>
      <w:lvlJc w:val="left"/>
      <w:pPr>
        <w:ind w:left="4242" w:hanging="360"/>
      </w:pPr>
      <w:rPr>
        <w:rFonts w:hint="default"/>
      </w:rPr>
    </w:lvl>
    <w:lvl w:ilvl="4">
      <w:start w:val="0"/>
      <w:numFmt w:val="bullet"/>
      <w:lvlText w:val="•"/>
      <w:lvlJc w:val="left"/>
      <w:pPr>
        <w:ind w:left="5176" w:hanging="360"/>
      </w:pPr>
      <w:rPr>
        <w:rFonts w:hint="default"/>
      </w:rPr>
    </w:lvl>
    <w:lvl w:ilvl="5">
      <w:start w:val="0"/>
      <w:numFmt w:val="bullet"/>
      <w:lvlText w:val="•"/>
      <w:lvlJc w:val="left"/>
      <w:pPr>
        <w:ind w:left="6110" w:hanging="360"/>
      </w:pPr>
      <w:rPr>
        <w:rFonts w:hint="default"/>
      </w:rPr>
    </w:lvl>
    <w:lvl w:ilvl="6">
      <w:start w:val="0"/>
      <w:numFmt w:val="bullet"/>
      <w:lvlText w:val="•"/>
      <w:lvlJc w:val="left"/>
      <w:pPr>
        <w:ind w:left="7044" w:hanging="360"/>
      </w:pPr>
      <w:rPr>
        <w:rFonts w:hint="default"/>
      </w:rPr>
    </w:lvl>
    <w:lvl w:ilvl="7">
      <w:start w:val="0"/>
      <w:numFmt w:val="bullet"/>
      <w:lvlText w:val="•"/>
      <w:lvlJc w:val="left"/>
      <w:pPr>
        <w:ind w:left="7978" w:hanging="360"/>
      </w:pPr>
      <w:rPr>
        <w:rFonts w:hint="default"/>
      </w:rPr>
    </w:lvl>
    <w:lvl w:ilvl="8">
      <w:start w:val="0"/>
      <w:numFmt w:val="bullet"/>
      <w:lvlText w:val="•"/>
      <w:lvlJc w:val="left"/>
      <w:pPr>
        <w:ind w:left="89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62"/>
      <w:ind w:left="1882" w:right="1865"/>
      <w:jc w:val="center"/>
      <w:outlineLvl w:val="1"/>
    </w:pPr>
    <w:rPr>
      <w:rFonts w:ascii="Times New Roman" w:hAnsi="Times New Roman" w:eastAsia="Times New Roman" w:cs="Times New Roman"/>
      <w:sz w:val="36"/>
      <w:szCs w:val="36"/>
    </w:rPr>
  </w:style>
  <w:style w:styleId="Heading2" w:type="paragraph">
    <w:name w:val="Heading 2"/>
    <w:basedOn w:val="Normal"/>
    <w:uiPriority w:val="1"/>
    <w:qFormat/>
    <w:pPr>
      <w:ind w:left="720"/>
      <w:outlineLvl w:val="2"/>
    </w:pPr>
    <w:rPr>
      <w:rFonts w:ascii="Calibri" w:hAnsi="Calibri" w:eastAsia="Calibri" w:cs="Calibri"/>
      <w:b/>
      <w:bCs/>
      <w:sz w:val="28"/>
      <w:szCs w:val="28"/>
    </w:rPr>
  </w:style>
  <w:style w:styleId="ListParagraph" w:type="paragraph">
    <w:name w:val="List Paragraph"/>
    <w:basedOn w:val="Normal"/>
    <w:uiPriority w:val="1"/>
    <w:qFormat/>
    <w:pPr>
      <w:spacing w:before="90"/>
      <w:ind w:left="144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nassauflpa.com/" TargetMode="External"/><Relationship Id="rId8" Type="http://schemas.openxmlformats.org/officeDocument/2006/relationships/hyperlink" Target="http://www.nassauflpa.com/home" TargetMode="External"/><Relationship Id="rId9" Type="http://schemas.openxmlformats.org/officeDocument/2006/relationships/hyperlink" Target="http://www.3hxestimator.org/" TargetMode="External"/><Relationship Id="rId10" Type="http://schemas.openxmlformats.org/officeDocument/2006/relationships/image" Target="media/image3.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klilly</dc:creator>
  <dc:title>Microsoft Word - Additional 3rd Hx amount_press release_April 2018</dc:title>
  <dcterms:created xsi:type="dcterms:W3CDTF">2019-04-09T18:11:21Z</dcterms:created>
  <dcterms:modified xsi:type="dcterms:W3CDTF">2019-04-09T18:11:21Z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2019-04-09T00:00:00Z</vt:filetime>
  </property>
</Properties>
</file>